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79D4" w:rsidRDefault="003947C4">
      <w:pPr>
        <w:pStyle w:val="Bezmezer"/>
        <w:jc w:val="center"/>
        <w:rPr>
          <w:rFonts w:ascii="Calibri" w:hAnsi="Calibri"/>
          <w:b/>
          <w:smallCaps/>
          <w:sz w:val="36"/>
          <w:szCs w:val="36"/>
          <w:lang w:eastAsia="ar-SA"/>
        </w:rPr>
      </w:pPr>
      <w:r>
        <w:rPr>
          <w:rFonts w:ascii="Calibri" w:hAnsi="Calibri"/>
          <w:b/>
          <w:smallCaps/>
          <w:sz w:val="36"/>
          <w:szCs w:val="36"/>
          <w:lang w:eastAsia="ar-SA"/>
        </w:rPr>
        <w:t>Posledních 90 let patří v Evropě k nejvlhčím z celého tisíciletí, ukázal výzkum</w:t>
      </w:r>
    </w:p>
    <w:p w:rsidR="00A179D4" w:rsidRDefault="00A179D4">
      <w:pPr>
        <w:rPr>
          <w:b/>
        </w:rPr>
      </w:pPr>
    </w:p>
    <w:p w:rsidR="00A179D4" w:rsidRDefault="005C1FC2">
      <w:pPr>
        <w:jc w:val="both"/>
        <w:rPr>
          <w:rFonts w:ascii="Calibri" w:hAnsi="Calibri"/>
          <w:b/>
          <w:sz w:val="22"/>
          <w:szCs w:val="22"/>
          <w:lang w:eastAsia="cs-CZ"/>
        </w:rPr>
      </w:pPr>
      <w:r>
        <w:rPr>
          <w:rFonts w:ascii="Calibri" w:hAnsi="Calibri"/>
          <w:b/>
          <w:sz w:val="22"/>
          <w:szCs w:val="22"/>
          <w:lang w:eastAsia="cs-CZ"/>
        </w:rPr>
        <w:t>Praha 16</w:t>
      </w:r>
      <w:r w:rsidR="003947C4">
        <w:rPr>
          <w:rFonts w:ascii="Calibri" w:hAnsi="Calibri"/>
          <w:b/>
          <w:sz w:val="22"/>
          <w:szCs w:val="22"/>
          <w:lang w:eastAsia="cs-CZ"/>
        </w:rPr>
        <w:t>. května – Tým vědců z České zemědělské univerzity</w:t>
      </w:r>
      <w:r w:rsidR="006F3CC2">
        <w:rPr>
          <w:rFonts w:ascii="Calibri" w:hAnsi="Calibri"/>
          <w:b/>
          <w:sz w:val="22"/>
          <w:szCs w:val="22"/>
          <w:lang w:eastAsia="cs-CZ"/>
        </w:rPr>
        <w:t xml:space="preserve"> v Praze</w:t>
      </w:r>
      <w:r w:rsidR="003947C4">
        <w:rPr>
          <w:rFonts w:ascii="Calibri" w:hAnsi="Calibri"/>
          <w:b/>
          <w:sz w:val="22"/>
          <w:szCs w:val="22"/>
          <w:lang w:eastAsia="cs-CZ"/>
        </w:rPr>
        <w:t xml:space="preserve"> zveřejnil studii zaměřenou na </w:t>
      </w:r>
      <w:proofErr w:type="spellStart"/>
      <w:r w:rsidR="003947C4">
        <w:rPr>
          <w:rFonts w:ascii="Calibri" w:hAnsi="Calibri"/>
          <w:b/>
          <w:sz w:val="22"/>
          <w:szCs w:val="22"/>
          <w:lang w:eastAsia="cs-CZ"/>
        </w:rPr>
        <w:t>hydroklimatický</w:t>
      </w:r>
      <w:proofErr w:type="spellEnd"/>
      <w:r w:rsidR="003947C4">
        <w:rPr>
          <w:rFonts w:ascii="Calibri" w:hAnsi="Calibri"/>
          <w:b/>
          <w:sz w:val="22"/>
          <w:szCs w:val="22"/>
          <w:lang w:eastAsia="cs-CZ"/>
        </w:rPr>
        <w:t xml:space="preserve"> vývoj Evropy v posledním tisíciletí. V článku uveřejněném v prestižním časopise </w:t>
      </w:r>
      <w:proofErr w:type="spellStart"/>
      <w:r w:rsidR="003947C4">
        <w:rPr>
          <w:rFonts w:ascii="Calibri" w:hAnsi="Calibri"/>
          <w:b/>
          <w:sz w:val="22"/>
          <w:szCs w:val="22"/>
          <w:lang w:eastAsia="cs-CZ"/>
        </w:rPr>
        <w:t>Nature</w:t>
      </w:r>
      <w:proofErr w:type="spellEnd"/>
      <w:r w:rsidR="003947C4">
        <w:rPr>
          <w:rFonts w:ascii="Calibri" w:hAnsi="Calibri"/>
          <w:b/>
          <w:sz w:val="22"/>
          <w:szCs w:val="22"/>
          <w:lang w:eastAsia="cs-CZ"/>
        </w:rPr>
        <w:t xml:space="preserve"> Communications vědci analyzovali data z nedávno publikované rekonstrukce evropského klimatu, tzv. </w:t>
      </w:r>
      <w:proofErr w:type="spellStart"/>
      <w:r w:rsidR="003947C4">
        <w:rPr>
          <w:rFonts w:ascii="Calibri" w:hAnsi="Calibri"/>
          <w:b/>
          <w:sz w:val="22"/>
          <w:szCs w:val="22"/>
          <w:lang w:eastAsia="cs-CZ"/>
        </w:rPr>
        <w:t>Old</w:t>
      </w:r>
      <w:proofErr w:type="spellEnd"/>
      <w:r w:rsidR="003947C4">
        <w:rPr>
          <w:rFonts w:ascii="Calibri" w:hAnsi="Calibri"/>
          <w:b/>
          <w:sz w:val="22"/>
          <w:szCs w:val="22"/>
          <w:lang w:eastAsia="cs-CZ"/>
        </w:rPr>
        <w:t xml:space="preserve"> </w:t>
      </w:r>
      <w:proofErr w:type="spellStart"/>
      <w:r w:rsidR="003947C4">
        <w:rPr>
          <w:rFonts w:ascii="Calibri" w:hAnsi="Calibri"/>
          <w:b/>
          <w:sz w:val="22"/>
          <w:szCs w:val="22"/>
          <w:lang w:eastAsia="cs-CZ"/>
        </w:rPr>
        <w:t>World</w:t>
      </w:r>
      <w:proofErr w:type="spellEnd"/>
      <w:r w:rsidR="003947C4">
        <w:rPr>
          <w:rFonts w:ascii="Calibri" w:hAnsi="Calibri"/>
          <w:b/>
          <w:sz w:val="22"/>
          <w:szCs w:val="22"/>
          <w:lang w:eastAsia="cs-CZ"/>
        </w:rPr>
        <w:t xml:space="preserve"> </w:t>
      </w:r>
      <w:proofErr w:type="spellStart"/>
      <w:r w:rsidR="003947C4">
        <w:rPr>
          <w:rFonts w:ascii="Calibri" w:hAnsi="Calibri"/>
          <w:b/>
          <w:sz w:val="22"/>
          <w:szCs w:val="22"/>
          <w:lang w:eastAsia="cs-CZ"/>
        </w:rPr>
        <w:t>Drought</w:t>
      </w:r>
      <w:proofErr w:type="spellEnd"/>
      <w:r w:rsidR="003947C4">
        <w:rPr>
          <w:rFonts w:ascii="Calibri" w:hAnsi="Calibri"/>
          <w:b/>
          <w:sz w:val="22"/>
          <w:szCs w:val="22"/>
          <w:lang w:eastAsia="cs-CZ"/>
        </w:rPr>
        <w:t xml:space="preserve"> Atlas</w:t>
      </w:r>
      <w:r>
        <w:rPr>
          <w:rFonts w:ascii="Calibri" w:hAnsi="Calibri"/>
          <w:b/>
          <w:sz w:val="22"/>
          <w:szCs w:val="22"/>
          <w:lang w:eastAsia="cs-CZ"/>
        </w:rPr>
        <w:t>,</w:t>
      </w:r>
      <w:r w:rsidR="003947C4">
        <w:rPr>
          <w:rFonts w:ascii="Calibri" w:hAnsi="Calibri"/>
          <w:b/>
          <w:sz w:val="22"/>
          <w:szCs w:val="22"/>
          <w:lang w:eastAsia="cs-CZ"/>
        </w:rPr>
        <w:t xml:space="preserve"> a zkoumali tak střídání vlhkých a suchých období v Evropě. </w:t>
      </w:r>
    </w:p>
    <w:p w:rsidR="00A179D4" w:rsidRDefault="00A179D4">
      <w:pPr>
        <w:jc w:val="both"/>
        <w:rPr>
          <w:rFonts w:ascii="Calibri" w:hAnsi="Calibri"/>
          <w:b/>
          <w:sz w:val="22"/>
          <w:szCs w:val="22"/>
          <w:lang w:eastAsia="cs-CZ"/>
        </w:rPr>
      </w:pPr>
    </w:p>
    <w:p w:rsidR="00A179D4" w:rsidRDefault="003947C4">
      <w:pPr>
        <w:contextualSpacing/>
        <w:jc w:val="both"/>
      </w:pPr>
      <w:r>
        <w:rPr>
          <w:rFonts w:ascii="Calibri" w:hAnsi="Calibri"/>
          <w:sz w:val="22"/>
          <w:szCs w:val="22"/>
        </w:rPr>
        <w:t>Výzkum ukázal, že během posledního tisíciletí byla řada období, ve kterých se stávaly rozsáhlé oblasti extrémně suchými či naopak vodnými. „</w:t>
      </w:r>
      <w:r>
        <w:rPr>
          <w:rFonts w:ascii="Calibri" w:hAnsi="Calibri"/>
          <w:i/>
          <w:sz w:val="22"/>
          <w:szCs w:val="22"/>
        </w:rPr>
        <w:t>V kontextu probíhajících debat o suchu a jeho současných vlivech je však zarážející, že posledních 90 let patří v Evropě k nejvlhčím z celého tisíciletí</w:t>
      </w:r>
      <w:r>
        <w:rPr>
          <w:rFonts w:ascii="Calibri" w:hAnsi="Calibri"/>
          <w:sz w:val="22"/>
          <w:szCs w:val="22"/>
        </w:rPr>
        <w:t xml:space="preserve">,“ uvedl hlavní autor výzkumu </w:t>
      </w:r>
      <w:proofErr w:type="spellStart"/>
      <w:r>
        <w:rPr>
          <w:rFonts w:ascii="Calibri" w:hAnsi="Calibri"/>
          <w:sz w:val="22"/>
          <w:szCs w:val="22"/>
        </w:rPr>
        <w:t>Yannis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Markonis</w:t>
      </w:r>
      <w:proofErr w:type="spellEnd"/>
      <w:r>
        <w:rPr>
          <w:rFonts w:ascii="Calibri" w:hAnsi="Calibri"/>
          <w:sz w:val="22"/>
          <w:szCs w:val="22"/>
        </w:rPr>
        <w:t xml:space="preserve"> z Fakulty životního prostředí ČZU. </w:t>
      </w:r>
    </w:p>
    <w:p w:rsidR="00A179D4" w:rsidRDefault="00A179D4">
      <w:pPr>
        <w:contextualSpacing/>
        <w:jc w:val="both"/>
        <w:rPr>
          <w:rFonts w:ascii="Calibri" w:hAnsi="Calibri"/>
          <w:sz w:val="22"/>
          <w:szCs w:val="22"/>
        </w:rPr>
      </w:pPr>
    </w:p>
    <w:p w:rsidR="00A179D4" w:rsidRDefault="003947C4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bližším pohledu se ukázalo, že posilování tzv. pluviálů (tedy období ex</w:t>
      </w:r>
      <w:bookmarkStart w:id="0" w:name="_GoBack"/>
      <w:bookmarkEnd w:id="0"/>
      <w:r>
        <w:rPr>
          <w:rFonts w:ascii="Calibri" w:hAnsi="Calibri"/>
          <w:sz w:val="22"/>
          <w:szCs w:val="22"/>
        </w:rPr>
        <w:t>trémně bohatých na vodu) se projevuje nejvíce na severu Evropy, zatímco i přes celkový pozitivní trend, jih Evropy spíše vysychá a například dekáda 1942–1952 byla ve Středozemí historicky nejsušší. Tento fakt dobře odpovídá projekcím budoucího klimatu, které ukazují na značnou polarizaci podmínek. „</w:t>
      </w:r>
      <w:r>
        <w:rPr>
          <w:rFonts w:ascii="Calibri" w:hAnsi="Calibri"/>
          <w:i/>
          <w:sz w:val="22"/>
          <w:szCs w:val="22"/>
        </w:rPr>
        <w:t>Extrémní sucha se můžou vyskytovat, ale z dlouhodobého hlediska je posledních zhruba 100 let vláhově nadprůměrných, voda je jen pro nás nevhodně rozložená v čase i prostoru</w:t>
      </w:r>
      <w:r>
        <w:rPr>
          <w:rFonts w:ascii="Calibri" w:hAnsi="Calibri"/>
          <w:sz w:val="22"/>
          <w:szCs w:val="22"/>
        </w:rPr>
        <w:t xml:space="preserve">,“ vysvětlil člen týmu Martin Hanel z Fakulty životního prostředí ČZU.  </w:t>
      </w:r>
    </w:p>
    <w:p w:rsidR="00CE090E" w:rsidRDefault="00CE090E">
      <w:pPr>
        <w:contextualSpacing/>
        <w:jc w:val="both"/>
        <w:rPr>
          <w:rFonts w:ascii="Calibri" w:hAnsi="Calibri"/>
          <w:sz w:val="22"/>
          <w:szCs w:val="22"/>
        </w:rPr>
      </w:pPr>
    </w:p>
    <w:p w:rsidR="00CE090E" w:rsidRDefault="00CE090E" w:rsidP="00CE090E">
      <w:pPr>
        <w:contextualSpacing/>
        <w:rPr>
          <w:rFonts w:ascii="Calibri" w:hAnsi="Calibri"/>
          <w:sz w:val="20"/>
          <w:szCs w:val="20"/>
        </w:rPr>
      </w:pPr>
      <w:r w:rsidRPr="00FD4A9B">
        <w:rPr>
          <w:rFonts w:ascii="Calibri" w:hAnsi="Calibri"/>
          <w:sz w:val="20"/>
          <w:szCs w:val="20"/>
        </w:rPr>
        <w:t xml:space="preserve">Dlouhodobé změny </w:t>
      </w:r>
      <w:proofErr w:type="spellStart"/>
      <w:r w:rsidRPr="00FD4A9B">
        <w:rPr>
          <w:rFonts w:ascii="Calibri" w:hAnsi="Calibri"/>
          <w:sz w:val="20"/>
          <w:szCs w:val="20"/>
        </w:rPr>
        <w:t>hydroklimatických</w:t>
      </w:r>
      <w:proofErr w:type="spellEnd"/>
      <w:r w:rsidRPr="00FD4A9B">
        <w:rPr>
          <w:rFonts w:ascii="Calibri" w:hAnsi="Calibri"/>
          <w:sz w:val="20"/>
          <w:szCs w:val="20"/>
        </w:rPr>
        <w:t xml:space="preserve"> podmínek v Evropě:</w:t>
      </w:r>
    </w:p>
    <w:p w:rsidR="006F3CC2" w:rsidRPr="00CE090E" w:rsidRDefault="006F3CC2" w:rsidP="00CE090E">
      <w:pPr>
        <w:contextualSpacing/>
        <w:rPr>
          <w:sz w:val="20"/>
          <w:szCs w:val="2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CE090E" w:rsidTr="00CE090E">
        <w:tc>
          <w:tcPr>
            <w:tcW w:w="4536" w:type="dxa"/>
          </w:tcPr>
          <w:p w:rsidR="00CE090E" w:rsidRDefault="00CE090E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E090E">
              <w:rPr>
                <w:noProof/>
                <w:lang w:eastAsia="cs-CZ"/>
              </w:rPr>
              <w:drawing>
                <wp:inline distT="0" distB="0" distL="0" distR="0">
                  <wp:extent cx="2592070" cy="1994535"/>
                  <wp:effectExtent l="0" t="0" r="0" b="5715"/>
                  <wp:docPr id="2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CE090E" w:rsidRDefault="00CE090E" w:rsidP="00CE090E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E090E">
              <w:rPr>
                <w:noProof/>
                <w:lang w:eastAsia="cs-CZ"/>
              </w:rPr>
              <w:drawing>
                <wp:inline distT="0" distB="0" distL="0" distR="0">
                  <wp:extent cx="2008505" cy="2008505"/>
                  <wp:effectExtent l="0" t="0" r="0" b="0"/>
                  <wp:docPr id="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90E" w:rsidTr="00CE090E">
        <w:tc>
          <w:tcPr>
            <w:tcW w:w="4536" w:type="dxa"/>
          </w:tcPr>
          <w:p w:rsidR="00CE090E" w:rsidRPr="00FD4A9B" w:rsidRDefault="00CE090E" w:rsidP="00CE090E">
            <w:pPr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FD4A9B">
              <w:rPr>
                <w:rFonts w:ascii="Calibri" w:hAnsi="Calibri"/>
                <w:sz w:val="20"/>
                <w:szCs w:val="20"/>
              </w:rPr>
              <w:t xml:space="preserve">Průměrná standardizovaná hodnota </w:t>
            </w:r>
            <w:proofErr w:type="spellStart"/>
            <w:r w:rsidRPr="00FD4A9B">
              <w:rPr>
                <w:rFonts w:ascii="Calibri" w:hAnsi="Calibri"/>
                <w:sz w:val="20"/>
                <w:szCs w:val="20"/>
              </w:rPr>
              <w:t>Palmerova</w:t>
            </w:r>
            <w:proofErr w:type="spellEnd"/>
            <w:r w:rsidRPr="00FD4A9B">
              <w:rPr>
                <w:rFonts w:ascii="Calibri" w:hAnsi="Calibri"/>
                <w:sz w:val="20"/>
                <w:szCs w:val="20"/>
              </w:rPr>
              <w:t xml:space="preserve"> indexu závažnosti sucha (</w:t>
            </w:r>
            <w:proofErr w:type="spellStart"/>
            <w:r w:rsidRPr="00FD4A9B">
              <w:rPr>
                <w:rFonts w:ascii="Calibri" w:hAnsi="Calibri"/>
                <w:sz w:val="20"/>
                <w:szCs w:val="20"/>
              </w:rPr>
              <w:t>scPDSI</w:t>
            </w:r>
            <w:proofErr w:type="spellEnd"/>
            <w:r w:rsidRPr="00FD4A9B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gramStart"/>
            <w:r w:rsidRPr="00FD4A9B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FD4A9B">
              <w:rPr>
                <w:rFonts w:ascii="Calibri" w:hAnsi="Calibri"/>
                <w:sz w:val="20"/>
                <w:szCs w:val="20"/>
              </w:rPr>
              <w:t xml:space="preserve"> 30letém časovém měřítku pro Evropu (černá čára) a procento plochy zasažené suchem (oranžově) nebo vlhkými podmínkami (modře).</w:t>
            </w:r>
          </w:p>
          <w:p w:rsidR="00CE090E" w:rsidRDefault="00CE090E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1" w:type="dxa"/>
          </w:tcPr>
          <w:p w:rsidR="00CE090E" w:rsidRDefault="00CE090E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FD4A9B">
              <w:rPr>
                <w:rFonts w:ascii="Calibri" w:hAnsi="Calibri"/>
                <w:sz w:val="20"/>
                <w:szCs w:val="20"/>
              </w:rPr>
              <w:t xml:space="preserve">Empirické hustoty rozdělení 30letého </w:t>
            </w:r>
            <w:proofErr w:type="spellStart"/>
            <w:r w:rsidRPr="00FD4A9B">
              <w:rPr>
                <w:rFonts w:ascii="Calibri" w:hAnsi="Calibri"/>
                <w:sz w:val="20"/>
                <w:szCs w:val="20"/>
              </w:rPr>
              <w:t>scPDSI</w:t>
            </w:r>
            <w:proofErr w:type="spellEnd"/>
            <w:r w:rsidRPr="00FD4A9B">
              <w:rPr>
                <w:rFonts w:ascii="Calibri" w:hAnsi="Calibri"/>
                <w:sz w:val="20"/>
                <w:szCs w:val="20"/>
              </w:rPr>
              <w:t xml:space="preserve"> pro Evropu (0=sucho, 1=pluviál). Šedé čáry odpovídají různým 30letým obdobím z let 992-1922, zeleně – 1923–1952, světle modře – 1953–1982, tmavě modře – 1983–2012.</w:t>
            </w:r>
          </w:p>
        </w:tc>
      </w:tr>
    </w:tbl>
    <w:p w:rsidR="00CE090E" w:rsidRDefault="00CE090E">
      <w:pPr>
        <w:contextualSpacing/>
        <w:jc w:val="both"/>
        <w:rPr>
          <w:rFonts w:ascii="Calibri" w:hAnsi="Calibri"/>
          <w:sz w:val="22"/>
          <w:szCs w:val="22"/>
        </w:rPr>
      </w:pPr>
    </w:p>
    <w:p w:rsidR="00A179D4" w:rsidRDefault="003947C4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Nejenže v posledních letech dosáhly </w:t>
      </w:r>
      <w:proofErr w:type="spellStart"/>
      <w:r>
        <w:rPr>
          <w:rFonts w:ascii="Calibri" w:hAnsi="Calibri"/>
          <w:sz w:val="22"/>
          <w:szCs w:val="22"/>
        </w:rPr>
        <w:t>hydroklimatické</w:t>
      </w:r>
      <w:proofErr w:type="spellEnd"/>
      <w:r>
        <w:rPr>
          <w:rFonts w:ascii="Calibri" w:hAnsi="Calibri"/>
          <w:sz w:val="22"/>
          <w:szCs w:val="22"/>
        </w:rPr>
        <w:t xml:space="preserve"> podmínky svých extrémů a v některých oblastech v nich stále setrvávají, ale nebývalá je i doba trvání tohoto stavu. „</w:t>
      </w:r>
      <w:r>
        <w:rPr>
          <w:rFonts w:ascii="Calibri" w:hAnsi="Calibri"/>
          <w:i/>
          <w:sz w:val="22"/>
          <w:szCs w:val="22"/>
        </w:rPr>
        <w:t>Například současný pluviál ve Skandinávii, Německu, Francii a Velké Británii trvá už téměř 100 let. Naproti tomu střední Evropa zažila prudký obrat k podmínkám sušším</w:t>
      </w:r>
      <w:r>
        <w:rPr>
          <w:rFonts w:ascii="Calibri" w:hAnsi="Calibri"/>
          <w:sz w:val="22"/>
          <w:szCs w:val="22"/>
        </w:rPr>
        <w:t>,“ přiblížil Martin Hanel.</w:t>
      </w:r>
    </w:p>
    <w:p w:rsidR="00A179D4" w:rsidRDefault="00A179D4">
      <w:pPr>
        <w:contextualSpacing/>
        <w:jc w:val="both"/>
        <w:rPr>
          <w:rFonts w:ascii="Calibri" w:hAnsi="Calibri"/>
          <w:sz w:val="22"/>
          <w:szCs w:val="22"/>
        </w:rPr>
      </w:pPr>
    </w:p>
    <w:p w:rsidR="00A179D4" w:rsidRDefault="003947C4">
      <w:pPr>
        <w:contextualSpacing/>
        <w:jc w:val="both"/>
      </w:pPr>
      <w:r>
        <w:rPr>
          <w:rFonts w:ascii="Calibri" w:hAnsi="Calibri"/>
          <w:sz w:val="22"/>
          <w:szCs w:val="22"/>
        </w:rPr>
        <w:lastRenderedPageBreak/>
        <w:t>Velkou roli v popsaných procesem lze připsat změnám v typickém proudění atmosféry a teplotě. „</w:t>
      </w:r>
      <w:r>
        <w:rPr>
          <w:rFonts w:ascii="Calibri" w:hAnsi="Calibri"/>
          <w:i/>
          <w:sz w:val="22"/>
          <w:szCs w:val="22"/>
        </w:rPr>
        <w:t>Vazby mezi atmosférickou cirkulací, teplotou, suchem a pluviály nejsou z dlouhodobého hlediska uspokojivě popsány. Je nicméně zřejmé, že to, co považujeme v současnosti i v kontextu pozorovaných hodnot za normální, je ve skutečnosti extrém</w:t>
      </w:r>
      <w:r w:rsidR="006F3CC2">
        <w:rPr>
          <w:rFonts w:ascii="Calibri" w:hAnsi="Calibri"/>
          <w:sz w:val="22"/>
          <w:szCs w:val="22"/>
        </w:rPr>
        <w:t xml:space="preserve">,“ popsal </w:t>
      </w:r>
      <w:proofErr w:type="spellStart"/>
      <w:r w:rsidR="006F3CC2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annis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Markonis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A179D4" w:rsidRDefault="00A179D4">
      <w:pPr>
        <w:contextualSpacing/>
        <w:jc w:val="both"/>
        <w:rPr>
          <w:rFonts w:ascii="Calibri" w:hAnsi="Calibri"/>
          <w:sz w:val="22"/>
          <w:szCs w:val="22"/>
        </w:rPr>
      </w:pPr>
    </w:p>
    <w:p w:rsidR="00A179D4" w:rsidRDefault="003947C4">
      <w:pPr>
        <w:contextualSpacing/>
        <w:jc w:val="both"/>
      </w:pPr>
      <w:r>
        <w:rPr>
          <w:rFonts w:ascii="Calibri" w:hAnsi="Calibri"/>
          <w:sz w:val="22"/>
          <w:szCs w:val="22"/>
        </w:rPr>
        <w:t xml:space="preserve">Článek je ke stažení </w:t>
      </w:r>
      <w:hyperlink r:id="rId8">
        <w:r>
          <w:rPr>
            <w:rStyle w:val="Internetovodkaz"/>
            <w:rFonts w:ascii="Calibri" w:hAnsi="Calibri" w:cs="Calibri"/>
            <w:sz w:val="22"/>
            <w:szCs w:val="22"/>
          </w:rPr>
          <w:t>zde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A179D4" w:rsidRDefault="00A179D4"/>
    <w:p w:rsidR="00A179D4" w:rsidRDefault="00A179D4">
      <w:pPr>
        <w:pStyle w:val="Bezmezer"/>
        <w:pBdr>
          <w:bottom w:val="single" w:sz="4" w:space="1" w:color="000000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A179D4" w:rsidRDefault="003947C4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A179D4" w:rsidRDefault="003947C4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ar-SA"/>
        </w:rPr>
        <w:t xml:space="preserve">ČZU je třetí největší univerzitou v Praze.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</w:t>
      </w:r>
      <w:r>
        <w:rPr>
          <w:rFonts w:ascii="Calibri" w:hAnsi="Calibri"/>
          <w:sz w:val="22"/>
          <w:szCs w:val="22"/>
        </w:rPr>
        <w:t xml:space="preserve">V roce 2015 ČZU po druhé uspěla v soutěži Českých 100 nejlepších. V roce 2017 se umístila na sedmém místě z českých univerzit v prestižním mezinárodním žebříčku </w:t>
      </w:r>
      <w:proofErr w:type="spellStart"/>
      <w:r>
        <w:rPr>
          <w:rFonts w:ascii="Calibri" w:hAnsi="Calibri"/>
          <w:sz w:val="22"/>
          <w:szCs w:val="22"/>
        </w:rPr>
        <w:t>Times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Higher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Education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A179D4" w:rsidRDefault="00A179D4">
      <w:pPr>
        <w:pStyle w:val="Bezmezer"/>
        <w:rPr>
          <w:rFonts w:ascii="Calibri" w:hAnsi="Calibri" w:cs="Calibri"/>
          <w:sz w:val="20"/>
          <w:szCs w:val="20"/>
          <w:lang w:eastAsia="ar-SA"/>
        </w:rPr>
      </w:pPr>
    </w:p>
    <w:p w:rsidR="00A179D4" w:rsidRDefault="00A179D4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A179D4" w:rsidRDefault="00A179D4">
      <w:pPr>
        <w:pBdr>
          <w:bottom w:val="single" w:sz="6" w:space="1" w:color="000000"/>
        </w:pBdr>
        <w:rPr>
          <w:rFonts w:ascii="Calibri" w:hAnsi="Calibri"/>
          <w:b/>
          <w:sz w:val="22"/>
          <w:szCs w:val="22"/>
        </w:rPr>
      </w:pPr>
    </w:p>
    <w:p w:rsidR="00A179D4" w:rsidRDefault="003947C4">
      <w:pPr>
        <w:pBdr>
          <w:bottom w:val="single" w:sz="6" w:space="1" w:color="000000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 pro novináře:</w:t>
      </w:r>
      <w:r>
        <w:rPr>
          <w:rFonts w:ascii="Calibri" w:hAnsi="Calibri"/>
          <w:b/>
          <w:sz w:val="22"/>
          <w:szCs w:val="22"/>
        </w:rPr>
        <w:tab/>
      </w:r>
    </w:p>
    <w:p w:rsidR="00A179D4" w:rsidRDefault="003947C4">
      <w:pPr>
        <w:tabs>
          <w:tab w:val="left" w:pos="2920"/>
        </w:tabs>
      </w:pPr>
      <w:r>
        <w:rPr>
          <w:rFonts w:ascii="Calibri" w:hAnsi="Calibri"/>
          <w:sz w:val="20"/>
          <w:szCs w:val="20"/>
        </w:rPr>
        <w:t xml:space="preserve">Jana Kašparová, tisková mluvčí ČZU, +420 703 182 901; </w:t>
      </w:r>
      <w:hyperlink r:id="rId9">
        <w:r>
          <w:rPr>
            <w:rStyle w:val="Interne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10">
        <w:r>
          <w:rPr>
            <w:rStyle w:val="Internetovodkaz"/>
            <w:rFonts w:ascii="Calibri" w:hAnsi="Calibri"/>
            <w:sz w:val="20"/>
            <w:szCs w:val="20"/>
          </w:rPr>
          <w:t>tiskove@czu.cz</w:t>
        </w:r>
      </w:hyperlink>
    </w:p>
    <w:sectPr w:rsidR="00A179D4">
      <w:headerReference w:type="default" r:id="rId11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11" w:rsidRDefault="00A95F11">
      <w:r>
        <w:separator/>
      </w:r>
    </w:p>
  </w:endnote>
  <w:endnote w:type="continuationSeparator" w:id="0">
    <w:p w:rsidR="00A95F11" w:rsidRDefault="00A9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telka_textbold"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11" w:rsidRDefault="00A95F11">
      <w:r>
        <w:separator/>
      </w:r>
    </w:p>
  </w:footnote>
  <w:footnote w:type="continuationSeparator" w:id="0">
    <w:p w:rsidR="00A95F11" w:rsidRDefault="00A9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D4" w:rsidRDefault="00A179D4">
    <w:pPr>
      <w:pStyle w:val="Zhlav"/>
      <w:tabs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A179D4" w:rsidRDefault="003947C4">
    <w:pPr>
      <w:pStyle w:val="Zhlav"/>
      <w:tabs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noProof/>
        <w:lang w:eastAsia="cs-CZ"/>
      </w:rPr>
      <w:drawing>
        <wp:anchor distT="0" distB="0" distL="114935" distR="114935" simplePos="0" relativeHeight="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</w:p>
  <w:p w:rsidR="00A179D4" w:rsidRDefault="003947C4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Jsme živá univerzita</w:t>
    </w:r>
  </w:p>
  <w:p w:rsidR="00A179D4" w:rsidRDefault="00A179D4">
    <w:pPr>
      <w:pStyle w:val="Zhlav"/>
      <w:rPr>
        <w:rFonts w:ascii="Calibri" w:hAnsi="Calibri"/>
        <w:i/>
      </w:rPr>
    </w:pPr>
  </w:p>
  <w:p w:rsidR="00A179D4" w:rsidRDefault="00A179D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D4"/>
    <w:rsid w:val="000F5F81"/>
    <w:rsid w:val="001905F7"/>
    <w:rsid w:val="003947C4"/>
    <w:rsid w:val="004E0A22"/>
    <w:rsid w:val="005C1FC2"/>
    <w:rsid w:val="006F3CC2"/>
    <w:rsid w:val="00A179D4"/>
    <w:rsid w:val="00A95F11"/>
    <w:rsid w:val="00CE090E"/>
    <w:rsid w:val="00F53942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321"/>
  <w15:docId w15:val="{0B994564-BF26-4DF9-AD48-AC7DA2E8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60782A"/>
    <w:pPr>
      <w:suppressAutoHyphens w:val="0"/>
      <w:spacing w:before="315" w:after="158"/>
      <w:outlineLvl w:val="0"/>
    </w:pPr>
    <w:rPr>
      <w:rFonts w:ascii="etelka_textbold" w:hAnsi="etelka_textbold"/>
      <w:b/>
      <w:bCs/>
      <w:kern w:val="2"/>
      <w:sz w:val="54"/>
      <w:szCs w:val="5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qFormat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sid w:val="00FC4BE8"/>
    <w:rPr>
      <w:rFonts w:cs="Times New Roman"/>
      <w:b/>
      <w:bCs/>
    </w:rPr>
  </w:style>
  <w:style w:type="character" w:styleId="Odkaznakoment">
    <w:name w:val="annotation reference"/>
    <w:semiHidden/>
    <w:qFormat/>
    <w:rsid w:val="00AC6D6B"/>
    <w:rPr>
      <w:sz w:val="16"/>
      <w:szCs w:val="16"/>
    </w:rPr>
  </w:style>
  <w:style w:type="character" w:customStyle="1" w:styleId="Nadpis1Char">
    <w:name w:val="Nadpis 1 Char"/>
    <w:link w:val="Nadpis1"/>
    <w:uiPriority w:val="9"/>
    <w:qFormat/>
    <w:rsid w:val="0060782A"/>
    <w:rPr>
      <w:rFonts w:ascii="etelka_textbold" w:hAnsi="etelka_textbold"/>
      <w:b/>
      <w:bCs/>
      <w:kern w:val="2"/>
      <w:sz w:val="54"/>
      <w:szCs w:val="5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Helvetica"/>
    </w:rPr>
  </w:style>
  <w:style w:type="character" w:customStyle="1" w:styleId="ListLabel3">
    <w:name w:val="ListLabel 3"/>
    <w:qFormat/>
    <w:rPr>
      <w:rFonts w:cs="Helvetica"/>
    </w:rPr>
  </w:style>
  <w:style w:type="character" w:customStyle="1" w:styleId="ListLabel4">
    <w:name w:val="ListLabel 4"/>
    <w:qFormat/>
    <w:rPr>
      <w:rFonts w:cs="Helvetica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libri" w:hAnsi="Calibri" w:cs="Calibri"/>
      <w:sz w:val="22"/>
      <w:szCs w:val="22"/>
    </w:rPr>
  </w:style>
  <w:style w:type="character" w:customStyle="1" w:styleId="ListLabel22">
    <w:name w:val="ListLabel 22"/>
    <w:qFormat/>
    <w:rPr>
      <w:rFonts w:ascii="Calibri" w:hAnsi="Calibri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F81B85"/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0621DA"/>
    <w:rPr>
      <w:sz w:val="24"/>
      <w:szCs w:val="24"/>
    </w:rPr>
  </w:style>
  <w:style w:type="paragraph" w:styleId="Textkomente">
    <w:name w:val="annotation text"/>
    <w:basedOn w:val="Normln"/>
    <w:semiHidden/>
    <w:qFormat/>
    <w:rsid w:val="00AC6D6B"/>
    <w:rPr>
      <w:sz w:val="20"/>
      <w:szCs w:val="20"/>
    </w:rPr>
  </w:style>
  <w:style w:type="paragraph" w:styleId="Pedmtkomente">
    <w:name w:val="annotation subject"/>
    <w:basedOn w:val="Textkomente"/>
    <w:semiHidden/>
    <w:qFormat/>
    <w:rsid w:val="00AC6D6B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60782A"/>
    <w:pPr>
      <w:suppressAutoHyphens w:val="0"/>
      <w:spacing w:after="158"/>
    </w:pPr>
    <w:rPr>
      <w:lang w:eastAsia="cs-CZ"/>
    </w:rPr>
  </w:style>
  <w:style w:type="table" w:styleId="Mkatabulky">
    <w:name w:val="Table Grid"/>
    <w:basedOn w:val="Normlntabulka"/>
    <w:rsid w:val="00CE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467-018-04207-7.epdf?shared_access_token=UwWIc99yYLgjqPLbKbRXWtRgN0jAjWel9jnR3ZoTv0MW5p8pKSaPjHKvlLjJHPbbBwMm5wrdvjjGolBeKkfHI7TuAfwqQn7UF_Jx5eiY8Sq1XUOA2kLP8CLlPScqz02xJa7GqX-M9L_IG-V7W9tpr83N8IupRn6kEXhQ2r6k1wg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iskove@cz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sparovaj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subject/>
  <dc:creator>JUDr. František Janouch</dc:creator>
  <dc:description/>
  <cp:lastModifiedBy>Kašparová Jana</cp:lastModifiedBy>
  <cp:revision>4</cp:revision>
  <cp:lastPrinted>2011-03-30T05:47:00Z</cp:lastPrinted>
  <dcterms:created xsi:type="dcterms:W3CDTF">2018-05-16T07:25:00Z</dcterms:created>
  <dcterms:modified xsi:type="dcterms:W3CDTF">2018-05-16T07:35:00Z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CZU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